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07C" w:rsidRDefault="002C725A">
      <w:pPr>
        <w:ind w:firstLine="851"/>
        <w:jc w:val="both"/>
        <w:rPr>
          <w:b/>
        </w:rPr>
      </w:pPr>
      <w:r>
        <w:rPr>
          <w:b/>
        </w:rPr>
        <w:t>Общая информация о переносе:</w:t>
      </w:r>
    </w:p>
    <w:p w:rsidR="00900ED4" w:rsidRDefault="00900ED4">
      <w:pPr>
        <w:ind w:firstLine="851"/>
        <w:jc w:val="both"/>
        <w:rPr>
          <w:b/>
        </w:rPr>
      </w:pPr>
    </w:p>
    <w:p w:rsidR="00BD507C" w:rsidRDefault="00900ED4">
      <w:pPr>
        <w:ind w:firstLine="851"/>
        <w:jc w:val="both"/>
      </w:pPr>
      <w:r>
        <w:t xml:space="preserve">Файл </w:t>
      </w:r>
      <w:r w:rsidRPr="00900ED4">
        <w:rPr>
          <w:b/>
          <w:i/>
        </w:rPr>
        <w:t>Правила переноса данных.xml</w:t>
      </w:r>
      <w:r>
        <w:t xml:space="preserve"> </w:t>
      </w:r>
      <w:proofErr w:type="gramStart"/>
      <w:r>
        <w:t>представляет из себя</w:t>
      </w:r>
      <w:proofErr w:type="gramEnd"/>
      <w:r>
        <w:t xml:space="preserve"> Правила,</w:t>
      </w:r>
      <w:r w:rsidR="002C725A">
        <w:t xml:space="preserve"> </w:t>
      </w:r>
      <w:r>
        <w:t>с помощью которых можно перенести данные</w:t>
      </w:r>
      <w:r w:rsidR="002C725A">
        <w:t xml:space="preserve"> из </w:t>
      </w:r>
      <w:r>
        <w:t>программы «</w:t>
      </w:r>
      <w:r w:rsidR="002C725A">
        <w:t>1С: Председатель ТСЖ</w:t>
      </w:r>
      <w:r>
        <w:t>»</w:t>
      </w:r>
      <w:r w:rsidR="00E93C5B">
        <w:t xml:space="preserve"> версии 1.0.16.8</w:t>
      </w:r>
      <w:r w:rsidR="002C725A">
        <w:t xml:space="preserve"> (далее - ПТСЖ) в </w:t>
      </w:r>
      <w:r>
        <w:t>«</w:t>
      </w:r>
      <w:r w:rsidR="002C725A">
        <w:t>1С: Учет в управляющих компаниях ЖКХ, ТСЖ и ЖСК</w:t>
      </w:r>
      <w:r>
        <w:t>»</w:t>
      </w:r>
      <w:r w:rsidR="00E93C5B">
        <w:t xml:space="preserve"> версии 3.0.72.4 и выше</w:t>
      </w:r>
      <w:r w:rsidR="002C725A">
        <w:t xml:space="preserve"> (далее — УУКЖКХ).</w:t>
      </w:r>
    </w:p>
    <w:p w:rsidR="00BD507C" w:rsidRDefault="00900ED4">
      <w:pPr>
        <w:ind w:firstLine="851"/>
        <w:jc w:val="both"/>
      </w:pPr>
      <w:r>
        <w:t>С помощью Правил в</w:t>
      </w:r>
      <w:r w:rsidR="002C725A">
        <w:t>ыгружаются следующие данные:</w:t>
      </w:r>
    </w:p>
    <w:p w:rsidR="00BD507C" w:rsidRDefault="002C725A">
      <w:pPr>
        <w:numPr>
          <w:ilvl w:val="0"/>
          <w:numId w:val="3"/>
        </w:numPr>
        <w:jc w:val="both"/>
      </w:pPr>
      <w:r>
        <w:t>Остаточное сальдо по лицевым счетам клиентов;</w:t>
      </w:r>
    </w:p>
    <w:p w:rsidR="00BD507C" w:rsidRDefault="002C725A">
      <w:pPr>
        <w:numPr>
          <w:ilvl w:val="0"/>
          <w:numId w:val="3"/>
        </w:numPr>
        <w:jc w:val="both"/>
      </w:pPr>
      <w:r>
        <w:t>Остатки по бухгалтерским счетам 10, 40, 41, 42, 50, 51, 55, 60, 62, 66, 68, 70, 71, 76 и 86;</w:t>
      </w:r>
    </w:p>
    <w:p w:rsidR="00BD507C" w:rsidRDefault="002C725A">
      <w:pPr>
        <w:numPr>
          <w:ilvl w:val="0"/>
          <w:numId w:val="3"/>
        </w:numPr>
        <w:jc w:val="both"/>
      </w:pPr>
      <w:r>
        <w:t>Лицевые счета клиентов и их сведения;</w:t>
      </w:r>
    </w:p>
    <w:p w:rsidR="00BD507C" w:rsidRDefault="002C725A">
      <w:pPr>
        <w:numPr>
          <w:ilvl w:val="0"/>
          <w:numId w:val="3"/>
        </w:numPr>
        <w:jc w:val="both"/>
      </w:pPr>
      <w:r>
        <w:t>Справочная информация по зданиям и жильцам;</w:t>
      </w:r>
    </w:p>
    <w:p w:rsidR="00BD507C" w:rsidRDefault="002C725A">
      <w:pPr>
        <w:numPr>
          <w:ilvl w:val="0"/>
          <w:numId w:val="3"/>
        </w:numPr>
        <w:jc w:val="both"/>
      </w:pPr>
      <w:r>
        <w:t>Настройки учета льгот владельцев лицевых счетов;</w:t>
      </w:r>
    </w:p>
    <w:p w:rsidR="00BD507C" w:rsidRDefault="002C725A">
      <w:pPr>
        <w:numPr>
          <w:ilvl w:val="0"/>
          <w:numId w:val="3"/>
        </w:numPr>
        <w:jc w:val="both"/>
      </w:pPr>
      <w:r>
        <w:t>Прочая справочная информац</w:t>
      </w:r>
      <w:bookmarkStart w:id="0" w:name="_GoBack"/>
      <w:bookmarkEnd w:id="0"/>
      <w:r>
        <w:t>ия, необходимая для ведения учета.</w:t>
      </w:r>
    </w:p>
    <w:p w:rsidR="00BD507C" w:rsidRDefault="00BD507C">
      <w:pPr>
        <w:ind w:firstLine="851"/>
        <w:jc w:val="both"/>
      </w:pPr>
    </w:p>
    <w:p w:rsidR="00477762" w:rsidRDefault="00477762">
      <w:pPr>
        <w:ind w:firstLine="851"/>
        <w:jc w:val="both"/>
        <w:rPr>
          <w:b/>
        </w:rPr>
      </w:pPr>
    </w:p>
    <w:p w:rsidR="00BD507C" w:rsidRDefault="002C725A">
      <w:pPr>
        <w:ind w:firstLine="851"/>
        <w:jc w:val="both"/>
        <w:rPr>
          <w:b/>
        </w:rPr>
      </w:pPr>
      <w:r>
        <w:rPr>
          <w:b/>
        </w:rPr>
        <w:t>Инструкция по переносу данных</w:t>
      </w:r>
      <w:r w:rsidR="00900ED4">
        <w:rPr>
          <w:b/>
        </w:rPr>
        <w:t xml:space="preserve"> с помощью Правил</w:t>
      </w:r>
      <w:r>
        <w:rPr>
          <w:b/>
        </w:rPr>
        <w:t>:</w:t>
      </w:r>
    </w:p>
    <w:p w:rsidR="00900ED4" w:rsidRDefault="00900ED4">
      <w:pPr>
        <w:ind w:firstLine="851"/>
        <w:jc w:val="both"/>
        <w:rPr>
          <w:b/>
        </w:rPr>
      </w:pPr>
    </w:p>
    <w:p w:rsidR="00BD507C" w:rsidRDefault="002C725A">
      <w:pPr>
        <w:numPr>
          <w:ilvl w:val="0"/>
          <w:numId w:val="1"/>
        </w:numPr>
        <w:jc w:val="both"/>
      </w:pPr>
      <w:r>
        <w:t xml:space="preserve">В режиме </w:t>
      </w:r>
      <w:r w:rsidR="00900ED4">
        <w:t xml:space="preserve">«1С: Предприятие» </w:t>
      </w:r>
      <w:r>
        <w:t>в ПТСЖ открываем обработку «Универсальный обмен данными в формате XML», она доступна через «Все функции» - &gt; «Обработки».</w:t>
      </w:r>
    </w:p>
    <w:p w:rsidR="00BD507C" w:rsidRDefault="00BD507C">
      <w:pPr>
        <w:ind w:left="1211"/>
        <w:jc w:val="both"/>
      </w:pPr>
    </w:p>
    <w:p w:rsidR="00356A37" w:rsidRDefault="002C725A">
      <w:pPr>
        <w:numPr>
          <w:ilvl w:val="0"/>
          <w:numId w:val="1"/>
        </w:numPr>
        <w:jc w:val="both"/>
      </w:pPr>
      <w:r>
        <w:t>В открывшемся окне обработк</w:t>
      </w:r>
      <w:r w:rsidR="00900ED4">
        <w:t>и</w:t>
      </w:r>
      <w:r w:rsidR="00356A37">
        <w:t>:</w:t>
      </w:r>
    </w:p>
    <w:p w:rsidR="00356A37" w:rsidRDefault="00356A37" w:rsidP="00356A37">
      <w:pPr>
        <w:pStyle w:val="a9"/>
      </w:pPr>
    </w:p>
    <w:p w:rsidR="00356A37" w:rsidRDefault="00356A37" w:rsidP="00356A37">
      <w:pPr>
        <w:pStyle w:val="a9"/>
        <w:numPr>
          <w:ilvl w:val="1"/>
          <w:numId w:val="5"/>
        </w:numPr>
        <w:jc w:val="both"/>
      </w:pPr>
      <w:r>
        <w:t xml:space="preserve"> Н</w:t>
      </w:r>
      <w:r w:rsidR="002C725A">
        <w:t xml:space="preserve">а странице «Выгрузка данных» в поле «Имя файла правил на сервере» указываем путь к файлу с </w:t>
      </w:r>
      <w:r w:rsidR="00900ED4">
        <w:t>П</w:t>
      </w:r>
      <w:r w:rsidR="002C725A">
        <w:t>равилами переноса и нажим</w:t>
      </w:r>
      <w:r>
        <w:t>аем «Прочитать правила обмена».</w:t>
      </w:r>
    </w:p>
    <w:p w:rsidR="00356A37" w:rsidRDefault="00356A37" w:rsidP="00356A37">
      <w:pPr>
        <w:pStyle w:val="a9"/>
        <w:numPr>
          <w:ilvl w:val="1"/>
          <w:numId w:val="5"/>
        </w:numPr>
        <w:jc w:val="both"/>
      </w:pPr>
      <w:r>
        <w:t xml:space="preserve"> </w:t>
      </w:r>
      <w:r w:rsidR="002C725A">
        <w:t xml:space="preserve">Затем устанавливаем флаг «Выгрузка в файл обмена» и указываем «Имя файла данных на сервере» - это </w:t>
      </w:r>
      <w:proofErr w:type="gramStart"/>
      <w:r w:rsidR="002C725A">
        <w:t>фа</w:t>
      </w:r>
      <w:r>
        <w:t>йл</w:t>
      </w:r>
      <w:proofErr w:type="gramEnd"/>
      <w:r>
        <w:t xml:space="preserve"> куда будут выгружены данные.</w:t>
      </w:r>
    </w:p>
    <w:p w:rsidR="00356A37" w:rsidRDefault="00356A37" w:rsidP="00356A37">
      <w:pPr>
        <w:pStyle w:val="a9"/>
        <w:numPr>
          <w:ilvl w:val="1"/>
          <w:numId w:val="5"/>
        </w:numPr>
        <w:jc w:val="both"/>
      </w:pPr>
      <w:r>
        <w:t xml:space="preserve"> </w:t>
      </w:r>
      <w:r w:rsidR="002C725A">
        <w:t xml:space="preserve">После переходим на вкладку «Параметры выгрузки» и указываем организацию, по которой </w:t>
      </w:r>
      <w:r>
        <w:t xml:space="preserve">должны </w:t>
      </w:r>
      <w:r w:rsidR="002C725A">
        <w:t xml:space="preserve">выгружаться данные. Если не указать организацию, то </w:t>
      </w:r>
      <w:r>
        <w:t>выгрузка</w:t>
      </w:r>
      <w:r w:rsidR="002C725A">
        <w:t xml:space="preserve"> </w:t>
      </w:r>
      <w:r>
        <w:t xml:space="preserve">не </w:t>
      </w:r>
      <w:r w:rsidR="002C725A">
        <w:t xml:space="preserve">будет </w:t>
      </w:r>
      <w:r>
        <w:t xml:space="preserve">производиться, будет </w:t>
      </w:r>
      <w:r w:rsidR="002C725A">
        <w:t xml:space="preserve">выведено соответствующее </w:t>
      </w:r>
      <w:r>
        <w:t>предупреждение</w:t>
      </w:r>
      <w:r w:rsidR="002C725A">
        <w:t>.</w:t>
      </w:r>
    </w:p>
    <w:p w:rsidR="00BD507C" w:rsidRDefault="00356A37" w:rsidP="00356A37">
      <w:pPr>
        <w:pStyle w:val="a9"/>
        <w:numPr>
          <w:ilvl w:val="1"/>
          <w:numId w:val="5"/>
        </w:numPr>
        <w:jc w:val="both"/>
      </w:pPr>
      <w:r>
        <w:t xml:space="preserve"> </w:t>
      </w:r>
      <w:r w:rsidR="002C725A">
        <w:t xml:space="preserve">Затем нажать «Выгрузить данные». По окончании </w:t>
      </w:r>
      <w:r>
        <w:t xml:space="preserve">успешной </w:t>
      </w:r>
      <w:r w:rsidR="002C725A">
        <w:t>выгрузки выйдет соответствующее сообщение и можно закрыть обработку.</w:t>
      </w:r>
    </w:p>
    <w:p w:rsidR="00356A37" w:rsidRDefault="002C725A">
      <w:pPr>
        <w:ind w:left="1985"/>
        <w:jc w:val="both"/>
        <w:rPr>
          <w:b/>
          <w:i/>
        </w:rPr>
      </w:pPr>
      <w:r>
        <w:rPr>
          <w:b/>
          <w:i/>
          <w:color w:val="FF0000"/>
        </w:rPr>
        <w:t>ВНИМАНИЕ!</w:t>
      </w:r>
      <w:r>
        <w:br/>
      </w:r>
      <w:r w:rsidR="00356A37">
        <w:rPr>
          <w:b/>
          <w:i/>
        </w:rPr>
        <w:t xml:space="preserve">- </w:t>
      </w:r>
      <w:r>
        <w:rPr>
          <w:b/>
          <w:i/>
        </w:rPr>
        <w:t>Выгрузка данных может осуществляться от нескольких минут до нескольких часов, в зависимости от количества переносимых данных и</w:t>
      </w:r>
      <w:r w:rsidR="00356A37">
        <w:rPr>
          <w:b/>
          <w:i/>
        </w:rPr>
        <w:t xml:space="preserve"> производительности компьютера.</w:t>
      </w:r>
    </w:p>
    <w:p w:rsidR="00BD507C" w:rsidRDefault="00356A37">
      <w:pPr>
        <w:ind w:left="1985"/>
        <w:jc w:val="both"/>
      </w:pPr>
      <w:r>
        <w:rPr>
          <w:b/>
          <w:i/>
        </w:rPr>
        <w:t xml:space="preserve">- </w:t>
      </w:r>
      <w:r w:rsidR="002C725A">
        <w:rPr>
          <w:b/>
          <w:i/>
        </w:rPr>
        <w:t xml:space="preserve">Справочные данные и данные из регистров, в которых не ведется учет </w:t>
      </w:r>
      <w:r>
        <w:rPr>
          <w:b/>
          <w:i/>
        </w:rPr>
        <w:t>в разрезе организаций</w:t>
      </w:r>
      <w:r w:rsidR="002C725A">
        <w:rPr>
          <w:b/>
          <w:i/>
        </w:rPr>
        <w:t>, будут выгружены в полном объеме</w:t>
      </w:r>
      <w:r w:rsidR="002C725A">
        <w:t>.</w:t>
      </w:r>
    </w:p>
    <w:p w:rsidR="00BD507C" w:rsidRDefault="00BD507C">
      <w:pPr>
        <w:ind w:left="1985"/>
        <w:jc w:val="both"/>
      </w:pPr>
    </w:p>
    <w:p w:rsidR="00BD507C" w:rsidRDefault="002C725A">
      <w:pPr>
        <w:numPr>
          <w:ilvl w:val="0"/>
          <w:numId w:val="1"/>
        </w:numPr>
        <w:jc w:val="both"/>
      </w:pPr>
      <w:r>
        <w:t xml:space="preserve">Открываем чистую базу УУКЖКХ в режиме </w:t>
      </w:r>
      <w:r w:rsidR="00F81E7F">
        <w:t xml:space="preserve">«1С: Предприятие» </w:t>
      </w:r>
      <w:r>
        <w:t>и создаем новую организацию, обязательно указываем ИНН и КПП. ИНН и КПП должны совпадать с ИНН и КПП организации</w:t>
      </w:r>
      <w:r w:rsidR="00F81E7F">
        <w:t>,</w:t>
      </w:r>
      <w:r>
        <w:t xml:space="preserve"> указанной при выгрузке данных из ПТСЖ, иначе выйдет соответствующее сообщение об ошибке и загрузка не начнется.</w:t>
      </w:r>
    </w:p>
    <w:p w:rsidR="00F81E7F" w:rsidRDefault="002C725A" w:rsidP="00F81E7F">
      <w:pPr>
        <w:ind w:left="1985"/>
        <w:jc w:val="both"/>
        <w:rPr>
          <w:b/>
          <w:i/>
        </w:rPr>
      </w:pPr>
      <w:bookmarkStart w:id="1" w:name="__DdeLink__45_3868865210"/>
      <w:r>
        <w:rPr>
          <w:b/>
          <w:i/>
          <w:color w:val="FF0000"/>
        </w:rPr>
        <w:t>ВНИМАНИЕ!</w:t>
      </w:r>
      <w:r>
        <w:br/>
      </w:r>
      <w:r w:rsidR="00F81E7F">
        <w:rPr>
          <w:b/>
          <w:i/>
        </w:rPr>
        <w:t>- Перед загрузкой данных в УУКЖКХ необходимо заполнить учетную политику по организации как в части регламентированного бухгалтерского и налогового учета, так и специализированную учетную политику в сфере ЖКХ. При этом также должны быть заполнены настройки учетной политики ЖКХ и за прошлые периоды (как в ПТСЖ).</w:t>
      </w:r>
    </w:p>
    <w:p w:rsidR="00BD507C" w:rsidRDefault="00F81E7F" w:rsidP="00F81E7F">
      <w:pPr>
        <w:ind w:left="1985"/>
        <w:jc w:val="both"/>
      </w:pPr>
      <w:r>
        <w:rPr>
          <w:b/>
          <w:i/>
        </w:rPr>
        <w:t>- П</w:t>
      </w:r>
      <w:r w:rsidR="002C725A">
        <w:rPr>
          <w:b/>
          <w:i/>
        </w:rPr>
        <w:t>ри загрузке учитываются только ИНН и КПП</w:t>
      </w:r>
      <w:r>
        <w:rPr>
          <w:b/>
          <w:i/>
        </w:rPr>
        <w:t xml:space="preserve"> организации</w:t>
      </w:r>
      <w:r w:rsidR="002C725A">
        <w:rPr>
          <w:b/>
          <w:i/>
        </w:rPr>
        <w:t>, наименование организации при загрузке не учитывается.</w:t>
      </w:r>
      <w:bookmarkEnd w:id="1"/>
    </w:p>
    <w:p w:rsidR="00BD507C" w:rsidRDefault="00BD507C">
      <w:pPr>
        <w:jc w:val="both"/>
      </w:pPr>
    </w:p>
    <w:p w:rsidR="00BD507C" w:rsidRDefault="002C725A">
      <w:pPr>
        <w:numPr>
          <w:ilvl w:val="0"/>
          <w:numId w:val="1"/>
        </w:numPr>
      </w:pPr>
      <w:r>
        <w:t xml:space="preserve">В режиме </w:t>
      </w:r>
      <w:r w:rsidR="00EC01A4">
        <w:t xml:space="preserve">«1С: Предприятие» </w:t>
      </w:r>
      <w:r>
        <w:t xml:space="preserve">в </w:t>
      </w:r>
      <w:r w:rsidR="00EC01A4">
        <w:t xml:space="preserve">программе </w:t>
      </w:r>
      <w:r>
        <w:t>УУКЖКХ открываем обработку «Универсальный обмен данными в формате XML», она доступна через «Все функции» - &gt; «Обработки».</w:t>
      </w:r>
    </w:p>
    <w:p w:rsidR="00BD507C" w:rsidRDefault="00BD507C">
      <w:pPr>
        <w:ind w:left="1211"/>
      </w:pPr>
    </w:p>
    <w:p w:rsidR="004A21E1" w:rsidRDefault="004A21E1" w:rsidP="004A21E1">
      <w:pPr>
        <w:numPr>
          <w:ilvl w:val="0"/>
          <w:numId w:val="1"/>
        </w:numPr>
        <w:jc w:val="both"/>
      </w:pPr>
      <w:r>
        <w:lastRenderedPageBreak/>
        <w:t>В открывшемся окне обработки:</w:t>
      </w:r>
    </w:p>
    <w:p w:rsidR="004A21E1" w:rsidRDefault="004A21E1" w:rsidP="004A21E1">
      <w:pPr>
        <w:pStyle w:val="a9"/>
      </w:pPr>
    </w:p>
    <w:p w:rsidR="004A21E1" w:rsidRDefault="004A21E1" w:rsidP="004A21E1">
      <w:pPr>
        <w:pStyle w:val="a9"/>
        <w:numPr>
          <w:ilvl w:val="1"/>
          <w:numId w:val="6"/>
        </w:numPr>
        <w:jc w:val="both"/>
      </w:pPr>
      <w:r>
        <w:t xml:space="preserve"> </w:t>
      </w:r>
      <w:r w:rsidR="002C725A">
        <w:t>У</w:t>
      </w:r>
      <w:r>
        <w:t>казываем «Имя файла для загрузки</w:t>
      </w:r>
      <w:r w:rsidR="002C725A">
        <w:t xml:space="preserve"> на сервере» - это должен быть выгруженный из ПТСЖ файл</w:t>
      </w:r>
      <w:r>
        <w:t xml:space="preserve"> с данными</w:t>
      </w:r>
      <w:r w:rsidR="002C725A">
        <w:t>.</w:t>
      </w:r>
    </w:p>
    <w:p w:rsidR="004A21E1" w:rsidRDefault="004A21E1" w:rsidP="004A21E1">
      <w:pPr>
        <w:pStyle w:val="a9"/>
        <w:numPr>
          <w:ilvl w:val="1"/>
          <w:numId w:val="6"/>
        </w:numPr>
        <w:jc w:val="both"/>
      </w:pPr>
      <w:r>
        <w:t xml:space="preserve"> </w:t>
      </w:r>
      <w:r w:rsidR="002C725A">
        <w:t>Затем</w:t>
      </w:r>
      <w:r>
        <w:t xml:space="preserve"> устанавливаем следующие флаги:</w:t>
      </w:r>
    </w:p>
    <w:p w:rsidR="004A21E1" w:rsidRDefault="004A21E1" w:rsidP="004A21E1">
      <w:pPr>
        <w:pStyle w:val="a9"/>
        <w:ind w:left="1571"/>
        <w:jc w:val="both"/>
      </w:pPr>
      <w:r>
        <w:t>- «Загружать данные в режиме обмена»,</w:t>
      </w:r>
    </w:p>
    <w:p w:rsidR="004A21E1" w:rsidRDefault="004A21E1" w:rsidP="004A21E1">
      <w:pPr>
        <w:pStyle w:val="a9"/>
        <w:ind w:left="1571"/>
        <w:jc w:val="both"/>
      </w:pPr>
      <w:r>
        <w:t>- «Записывать в информационную базу только измененные объекты»,</w:t>
      </w:r>
    </w:p>
    <w:p w:rsidR="004A21E1" w:rsidRDefault="004A21E1" w:rsidP="004A21E1">
      <w:pPr>
        <w:pStyle w:val="a9"/>
        <w:ind w:left="1571"/>
        <w:jc w:val="both"/>
      </w:pPr>
      <w:r>
        <w:t>- «Объекты по ссылке загружать без пометки удаления»,</w:t>
      </w:r>
    </w:p>
    <w:p w:rsidR="004A21E1" w:rsidRDefault="004A21E1" w:rsidP="004A21E1">
      <w:pPr>
        <w:pStyle w:val="a9"/>
        <w:ind w:left="1571"/>
        <w:jc w:val="both"/>
      </w:pPr>
      <w:r>
        <w:t>- «Оптимизировать запись объектов»,</w:t>
      </w:r>
    </w:p>
    <w:p w:rsidR="004A21E1" w:rsidRDefault="004A21E1" w:rsidP="004A21E1">
      <w:pPr>
        <w:pStyle w:val="a9"/>
        <w:ind w:left="1571"/>
        <w:jc w:val="both"/>
      </w:pPr>
      <w:r>
        <w:t>- «Записывать регистры наборами записей».</w:t>
      </w:r>
    </w:p>
    <w:p w:rsidR="00BD507C" w:rsidRDefault="004A21E1" w:rsidP="004A21E1">
      <w:pPr>
        <w:pStyle w:val="a9"/>
        <w:numPr>
          <w:ilvl w:val="1"/>
          <w:numId w:val="6"/>
        </w:numPr>
        <w:jc w:val="both"/>
      </w:pPr>
      <w:r>
        <w:t xml:space="preserve"> </w:t>
      </w:r>
      <w:r w:rsidR="002C725A">
        <w:t xml:space="preserve">Затем нажимаем «Загрузить данные». По окончании </w:t>
      </w:r>
      <w:r>
        <w:t>успешной загрузки</w:t>
      </w:r>
      <w:r w:rsidR="002C725A">
        <w:t xml:space="preserve"> выйдет соответствующее сообщение и можно закрыть обработку.</w:t>
      </w:r>
    </w:p>
    <w:p w:rsidR="00BD507C" w:rsidRDefault="002C725A">
      <w:pPr>
        <w:ind w:left="1985"/>
        <w:jc w:val="both"/>
      </w:pPr>
      <w:r>
        <w:rPr>
          <w:b/>
          <w:i/>
          <w:color w:val="FF0000"/>
        </w:rPr>
        <w:t>ВНИМАНИЕ!</w:t>
      </w:r>
      <w:r>
        <w:br/>
      </w:r>
      <w:r>
        <w:rPr>
          <w:b/>
          <w:i/>
        </w:rPr>
        <w:t xml:space="preserve">Загрузка данных может осуществляться от нескольких минут до нескольких часов, в зависимости от количества переносимых данных и производительности компьютера. </w:t>
      </w:r>
    </w:p>
    <w:p w:rsidR="00BD507C" w:rsidRDefault="00BD507C">
      <w:pPr>
        <w:ind w:left="851"/>
        <w:jc w:val="both"/>
        <w:rPr>
          <w:b/>
        </w:rPr>
      </w:pPr>
    </w:p>
    <w:p w:rsidR="00477762" w:rsidRDefault="00477762">
      <w:pPr>
        <w:ind w:left="851"/>
        <w:jc w:val="both"/>
        <w:rPr>
          <w:b/>
        </w:rPr>
      </w:pPr>
    </w:p>
    <w:p w:rsidR="00BD507C" w:rsidRDefault="002C725A">
      <w:pPr>
        <w:ind w:left="851"/>
        <w:jc w:val="both"/>
        <w:rPr>
          <w:b/>
        </w:rPr>
      </w:pPr>
      <w:r>
        <w:rPr>
          <w:b/>
        </w:rPr>
        <w:t>Дополнительная информация:</w:t>
      </w:r>
    </w:p>
    <w:p w:rsidR="00477762" w:rsidRDefault="00477762">
      <w:pPr>
        <w:ind w:left="851"/>
        <w:jc w:val="both"/>
        <w:rPr>
          <w:b/>
        </w:rPr>
      </w:pPr>
    </w:p>
    <w:p w:rsidR="00BD507C" w:rsidRDefault="002C725A">
      <w:pPr>
        <w:numPr>
          <w:ilvl w:val="0"/>
          <w:numId w:val="2"/>
        </w:numPr>
        <w:ind w:left="1418" w:hanging="207"/>
        <w:jc w:val="both"/>
      </w:pPr>
      <w:r>
        <w:t>Если в ПТСЖ заведено две и более организации, то для каждой организации нужно производить отдельный перенос. То есть сначала выгрузить и загрузить данные по одной организации, затем выгрузить и загрузить данные по второй организации и т.д.</w:t>
      </w:r>
    </w:p>
    <w:p w:rsidR="00BD507C" w:rsidRDefault="002C725A">
      <w:pPr>
        <w:numPr>
          <w:ilvl w:val="0"/>
          <w:numId w:val="2"/>
        </w:numPr>
        <w:ind w:left="1418" w:hanging="207"/>
        <w:jc w:val="both"/>
      </w:pPr>
      <w:r>
        <w:t>Остатки из ПТСЖ по счетам 41 и 42 загружаются в УУКЖКХ на счет 41.</w:t>
      </w:r>
    </w:p>
    <w:p w:rsidR="00BD507C" w:rsidRDefault="00BD507C"/>
    <w:sectPr w:rsidR="00BD507C">
      <w:pgSz w:w="11906" w:h="16838"/>
      <w:pgMar w:top="568" w:right="850" w:bottom="568" w:left="709" w:header="720" w:footer="72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5B0"/>
    <w:multiLevelType w:val="multilevel"/>
    <w:tmpl w:val="152A4AE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88373A8"/>
    <w:multiLevelType w:val="multilevel"/>
    <w:tmpl w:val="784698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OpenSymbol" w:hAnsi="OpenSymbol" w:cs="OpenSymbol" w:hint="default"/>
      </w:rPr>
    </w:lvl>
  </w:abstractNum>
  <w:abstractNum w:abstractNumId="2">
    <w:nsid w:val="3307577A"/>
    <w:multiLevelType w:val="multilevel"/>
    <w:tmpl w:val="5A76BC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>
    <w:nsid w:val="3D425B1D"/>
    <w:multiLevelType w:val="multilevel"/>
    <w:tmpl w:val="3D4CD874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43636E"/>
    <w:multiLevelType w:val="multilevel"/>
    <w:tmpl w:val="79E6CA58"/>
    <w:lvl w:ilvl="0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717264AC"/>
    <w:multiLevelType w:val="multilevel"/>
    <w:tmpl w:val="DD1E6F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07C"/>
    <w:rsid w:val="002C725A"/>
    <w:rsid w:val="00356A37"/>
    <w:rsid w:val="00477762"/>
    <w:rsid w:val="004A21E1"/>
    <w:rsid w:val="005938AE"/>
    <w:rsid w:val="00900ED4"/>
    <w:rsid w:val="00BD507C"/>
    <w:rsid w:val="00E93C5B"/>
    <w:rsid w:val="00EC01A4"/>
    <w:rsid w:val="00F8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56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a3">
    <w:name w:val="Маркеры списка"/>
    <w:qFormat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356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14</cp:revision>
  <dcterms:created xsi:type="dcterms:W3CDTF">2017-02-09T14:30:00Z</dcterms:created>
  <dcterms:modified xsi:type="dcterms:W3CDTF">2019-09-05T09:19:00Z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